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1750D" w14:textId="5FF304D8" w:rsidR="008C22B6" w:rsidRDefault="008C22B6"/>
    <w:p w14:paraId="5BED8997" w14:textId="2C0C5D43" w:rsidR="008C22B6" w:rsidRDefault="008C22B6"/>
    <w:p w14:paraId="2BFB788A" w14:textId="479CA858" w:rsidR="004B7B82" w:rsidRPr="004B7B82" w:rsidRDefault="00FB21BB" w:rsidP="004B7B82">
      <w:pPr>
        <w:rPr>
          <w:rFonts w:ascii="Poppins" w:eastAsia="Poppins" w:hAnsi="Poppins" w:cs="Poppins"/>
          <w:b/>
          <w:bCs/>
          <w:color w:val="42514E"/>
          <w:sz w:val="32"/>
          <w:szCs w:val="32"/>
        </w:rPr>
      </w:pPr>
      <w:r>
        <w:rPr>
          <w:rFonts w:ascii="Poppins" w:eastAsia="Poppins" w:hAnsi="Poppins" w:cs="Poppins"/>
          <w:b/>
          <w:bCs/>
          <w:color w:val="42514E"/>
          <w:sz w:val="32"/>
          <w:szCs w:val="32"/>
        </w:rPr>
        <w:t>Datos del mes de Septiembre</w:t>
      </w:r>
    </w:p>
    <w:p w14:paraId="694C1B06" w14:textId="5951EABD" w:rsidR="004B7B82" w:rsidRPr="004B7B82" w:rsidRDefault="004B7B82" w:rsidP="00CD01C1">
      <w:pPr>
        <w:jc w:val="both"/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Durante el periodo comprendido entre el 1 de </w:t>
      </w:r>
      <w:r w:rsidR="00CD01C1">
        <w:rPr>
          <w:rFonts w:ascii="Poppins" w:eastAsia="Poppins" w:hAnsi="Poppins" w:cs="Poppins"/>
          <w:bCs/>
          <w:color w:val="000000" w:themeColor="text1"/>
        </w:rPr>
        <w:t>Septiembre y el 30 de Septiembre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de 2025, se realizaron </w:t>
      </w:r>
      <w:r w:rsidR="00CD01C1">
        <w:rPr>
          <w:rFonts w:ascii="Poppins" w:eastAsia="Poppins" w:hAnsi="Poppins" w:cs="Poppins"/>
          <w:b/>
          <w:color w:val="646569"/>
        </w:rPr>
        <w:t>412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servicios de mantenimiento a la infraestructura de semáforos dentro del Municipio de Puebla.</w:t>
      </w:r>
    </w:p>
    <w:p w14:paraId="7FD42F97" w14:textId="39EFA2BC" w:rsidR="004B7B82" w:rsidRPr="004B7B82" w:rsidRDefault="004B7B82" w:rsidP="004B7B82">
      <w:pPr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Adicionalmente como parte de los compromisos del </w:t>
      </w:r>
      <w:r w:rsidRPr="004B7B82">
        <w:rPr>
          <w:rFonts w:ascii="Poppins" w:eastAsia="Poppins" w:hAnsi="Poppins" w:cs="Poppins"/>
          <w:b/>
          <w:color w:val="646569"/>
        </w:rPr>
        <w:t>Programa SEMÁFOROS AL 100</w:t>
      </w:r>
      <w:r w:rsidRPr="004B7B82">
        <w:rPr>
          <w:rFonts w:ascii="Poppins" w:eastAsia="Poppins" w:hAnsi="Poppins" w:cs="Poppins"/>
          <w:bCs/>
          <w:color w:val="000000" w:themeColor="text1"/>
        </w:rPr>
        <w:t>, se tienen los siguientes avances:</w:t>
      </w:r>
    </w:p>
    <w:p w14:paraId="0A32B616" w14:textId="4C698A42" w:rsidR="004B7B82" w:rsidRPr="004B7B82" w:rsidRDefault="004B7B82" w:rsidP="004B7B82">
      <w:pPr>
        <w:numPr>
          <w:ilvl w:val="0"/>
          <w:numId w:val="3"/>
        </w:numPr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Se enlazaron </w:t>
      </w:r>
      <w:r w:rsidR="00CD01C1">
        <w:rPr>
          <w:rFonts w:ascii="Poppins" w:eastAsia="Poppins" w:hAnsi="Poppins" w:cs="Poppins"/>
          <w:b/>
          <w:color w:val="646569"/>
        </w:rPr>
        <w:t>141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intersecciones al Centro de Control Semafórico.</w:t>
      </w:r>
    </w:p>
    <w:p w14:paraId="568011C7" w14:textId="77777777" w:rsidR="004B7B82" w:rsidRPr="004B7B82" w:rsidRDefault="004B7B82" w:rsidP="004B7B82">
      <w:pPr>
        <w:numPr>
          <w:ilvl w:val="0"/>
          <w:numId w:val="3"/>
        </w:numPr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Se han aplicado </w:t>
      </w:r>
      <w:r w:rsidRPr="004B7B82">
        <w:rPr>
          <w:rFonts w:ascii="Poppins" w:eastAsia="Poppins" w:hAnsi="Poppins" w:cs="Poppins"/>
          <w:b/>
          <w:color w:val="646569"/>
        </w:rPr>
        <w:t>35.41 km</w:t>
      </w:r>
      <w:r w:rsidRPr="004B7B82">
        <w:rPr>
          <w:rFonts w:ascii="Poppins" w:eastAsia="Poppins" w:hAnsi="Poppins" w:cs="Poppins"/>
          <w:bCs/>
          <w:color w:val="646569"/>
        </w:rPr>
        <w:t xml:space="preserve"> </w:t>
      </w:r>
      <w:r w:rsidRPr="004B7B82">
        <w:rPr>
          <w:rFonts w:ascii="Poppins" w:eastAsia="Poppins" w:hAnsi="Poppins" w:cs="Poppins"/>
          <w:bCs/>
          <w:color w:val="000000" w:themeColor="text1"/>
        </w:rPr>
        <w:t>lineales de señalamiento horizontal.</w:t>
      </w:r>
    </w:p>
    <w:p w14:paraId="0A36EA72" w14:textId="2030354D" w:rsidR="004B7B82" w:rsidRPr="004B7B82" w:rsidRDefault="004B7B82" w:rsidP="004B7B82">
      <w:pPr>
        <w:numPr>
          <w:ilvl w:val="0"/>
          <w:numId w:val="3"/>
        </w:numPr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Se han colocado </w:t>
      </w:r>
      <w:r w:rsidR="00CD01C1">
        <w:rPr>
          <w:rFonts w:ascii="Poppins" w:eastAsia="Poppins" w:hAnsi="Poppins" w:cs="Poppins"/>
          <w:b/>
          <w:color w:val="646569"/>
        </w:rPr>
        <w:t>400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piezas de tapasoles para mejorar la imagen conforme a la normativa vigente.</w:t>
      </w:r>
    </w:p>
    <w:p w14:paraId="54FDDA34" w14:textId="1B8B683E" w:rsidR="00FA1EA4" w:rsidRDefault="004B7B82" w:rsidP="004B7B82">
      <w:pPr>
        <w:rPr>
          <w:rFonts w:ascii="Poppins" w:eastAsia="Poppins" w:hAnsi="Poppins" w:cs="Poppins"/>
          <w:b/>
          <w:color w:val="646569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En cuanto al Servicio de Mantenimiento Preventivo y Correctivo a la Red Semafórica Existente, se tiene un avance del </w:t>
      </w:r>
      <w:r w:rsidR="00CD01C1">
        <w:rPr>
          <w:rFonts w:ascii="Poppins" w:eastAsia="Poppins" w:hAnsi="Poppins" w:cs="Poppins"/>
          <w:b/>
          <w:color w:val="646569"/>
        </w:rPr>
        <w:t>25.78</w:t>
      </w:r>
      <w:r w:rsidRPr="004B7B82">
        <w:rPr>
          <w:rFonts w:ascii="Poppins" w:eastAsia="Poppins" w:hAnsi="Poppins" w:cs="Poppins"/>
          <w:b/>
          <w:color w:val="646569"/>
        </w:rPr>
        <w:t xml:space="preserve"> %</w:t>
      </w:r>
    </w:p>
    <w:p w14:paraId="3F3EB14A" w14:textId="260173E1" w:rsidR="00FA1EA4" w:rsidRDefault="00FB21BB" w:rsidP="004B7B82">
      <w:pPr>
        <w:rPr>
          <w:rFonts w:ascii="Poppins" w:eastAsia="Poppins" w:hAnsi="Poppins" w:cs="Poppins"/>
          <w:b/>
          <w:color w:val="646569"/>
        </w:rPr>
      </w:pPr>
      <w:bookmarkStart w:id="0" w:name="_GoBack"/>
      <w:r w:rsidRPr="00FB21BB">
        <w:rPr>
          <w:rFonts w:ascii="Poppins" w:eastAsia="Poppins" w:hAnsi="Poppins" w:cs="Poppins"/>
          <w:b/>
          <w:color w:val="646569"/>
        </w:rPr>
        <w:drawing>
          <wp:inline distT="0" distB="0" distL="0" distR="0" wp14:anchorId="20C73D02" wp14:editId="7283628F">
            <wp:extent cx="6703060" cy="3655060"/>
            <wp:effectExtent l="0" t="0" r="2540" b="254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9E306FF-D354-DAF0-8E56-1A5E029595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bookmarkEnd w:id="0"/>
    </w:p>
    <w:p w14:paraId="7E8F08D3" w14:textId="4DF03472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0B4B3772" w14:textId="77777777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5B2C7646" w14:textId="77777777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60A15A46" w14:textId="324315DB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10DC285E" w14:textId="46E4D13F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0BC5DC8D" w14:textId="288AA75D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7247BDD8" w14:textId="427C745A" w:rsidR="00FA1EA4" w:rsidRDefault="00FB21BB" w:rsidP="004B7B82">
      <w:pPr>
        <w:rPr>
          <w:rFonts w:ascii="Poppins" w:eastAsia="Poppins" w:hAnsi="Poppins" w:cs="Poppins"/>
          <w:b/>
          <w:color w:val="646569"/>
        </w:rPr>
      </w:pPr>
      <w:r>
        <w:rPr>
          <w:rFonts w:ascii="Poppins" w:eastAsia="Poppins" w:hAnsi="Poppins" w:cs="Poppins"/>
          <w:b/>
          <w:noProof/>
          <w:color w:val="646569"/>
        </w:rPr>
        <w:drawing>
          <wp:anchor distT="0" distB="0" distL="114300" distR="114300" simplePos="0" relativeHeight="251658240" behindDoc="0" locked="0" layoutInCell="1" allowOverlap="1" wp14:anchorId="016E8C0D" wp14:editId="7DA09287">
            <wp:simplePos x="0" y="0"/>
            <wp:positionH relativeFrom="column">
              <wp:posOffset>1899285</wp:posOffset>
            </wp:positionH>
            <wp:positionV relativeFrom="paragraph">
              <wp:posOffset>195580</wp:posOffset>
            </wp:positionV>
            <wp:extent cx="5230495" cy="6810375"/>
            <wp:effectExtent l="0" t="0" r="825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MAFOROS_SEPTIEMBRE_2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471FE" w14:textId="7DC67B7D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67567C8A" w14:textId="5D1590EE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7569B4C0" w14:textId="4475B7EB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tbl>
      <w:tblPr>
        <w:tblpPr w:leftFromText="141" w:rightFromText="141" w:vertAnchor="text" w:horzAnchor="margin" w:tblpY="136"/>
        <w:tblW w:w="2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9"/>
        <w:gridCol w:w="1031"/>
      </w:tblGrid>
      <w:tr w:rsidR="00FB21BB" w:rsidRPr="00FA1EA4" w14:paraId="459E587B" w14:textId="77777777" w:rsidTr="00FB21BB">
        <w:trPr>
          <w:trHeight w:val="253"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F1728"/>
            <w:vAlign w:val="center"/>
            <w:hideMark/>
          </w:tcPr>
          <w:p w14:paraId="473524DC" w14:textId="77777777" w:rsidR="00FB21BB" w:rsidRPr="00FA1EA4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</w:pPr>
            <w:r w:rsidRPr="00FA1EA4"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  <w:t>FECHA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F1728"/>
            <w:vAlign w:val="center"/>
            <w:hideMark/>
          </w:tcPr>
          <w:p w14:paraId="5CD3D4FA" w14:textId="77777777" w:rsidR="00FB21BB" w:rsidRPr="00FA1EA4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</w:pPr>
            <w:r w:rsidRPr="00FA1EA4"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  <w:t>CONTEO</w:t>
            </w:r>
          </w:p>
        </w:tc>
      </w:tr>
      <w:tr w:rsidR="00FB21BB" w:rsidRPr="00FA1EA4" w14:paraId="3FE7E53E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54278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01/09/2025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3E2FD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29</w:t>
            </w:r>
          </w:p>
        </w:tc>
      </w:tr>
      <w:tr w:rsidR="00FB21BB" w:rsidRPr="00FA1EA4" w14:paraId="4A01E4A0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2537D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02/09/2025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9C5B0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12</w:t>
            </w:r>
          </w:p>
        </w:tc>
      </w:tr>
      <w:tr w:rsidR="00FB21BB" w:rsidRPr="00FA1EA4" w14:paraId="167EBF72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CB959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03/09/2025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F6267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20</w:t>
            </w:r>
          </w:p>
        </w:tc>
      </w:tr>
      <w:tr w:rsidR="00FB21BB" w:rsidRPr="00FA1EA4" w14:paraId="271B7AF8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32A78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04/09/2025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0FDF6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16</w:t>
            </w:r>
          </w:p>
        </w:tc>
      </w:tr>
      <w:tr w:rsidR="00FB21BB" w:rsidRPr="00FA1EA4" w14:paraId="4F680FDC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94333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05/09/2025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3E3D3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13</w:t>
            </w:r>
          </w:p>
        </w:tc>
      </w:tr>
      <w:tr w:rsidR="00FB21BB" w:rsidRPr="00FA1EA4" w14:paraId="73F0B0A7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54E93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06/09/2025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44D92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7</w:t>
            </w:r>
          </w:p>
        </w:tc>
      </w:tr>
      <w:tr w:rsidR="00FB21BB" w:rsidRPr="00FA1EA4" w14:paraId="670CEE38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5F5F8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07/09/2025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A1C50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13</w:t>
            </w:r>
          </w:p>
        </w:tc>
      </w:tr>
      <w:tr w:rsidR="00FB21BB" w:rsidRPr="00FA1EA4" w14:paraId="2DD14A3A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BCD48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08/09/2025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F356D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29</w:t>
            </w:r>
          </w:p>
        </w:tc>
      </w:tr>
      <w:tr w:rsidR="00FB21BB" w:rsidRPr="00FA1EA4" w14:paraId="35642661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94C51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09/09/2025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19093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42</w:t>
            </w:r>
          </w:p>
        </w:tc>
      </w:tr>
      <w:tr w:rsidR="00FB21BB" w:rsidRPr="00FA1EA4" w14:paraId="477B3469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11BF2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10/09/2025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A0269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16</w:t>
            </w:r>
          </w:p>
        </w:tc>
      </w:tr>
      <w:tr w:rsidR="00FB21BB" w:rsidRPr="00FA1EA4" w14:paraId="111360E8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677CF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11/09/2025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F2DF9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26</w:t>
            </w:r>
          </w:p>
        </w:tc>
      </w:tr>
      <w:tr w:rsidR="00FB21BB" w:rsidRPr="00FA1EA4" w14:paraId="47F25F04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967A5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12/09/2025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9E3BB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20</w:t>
            </w:r>
          </w:p>
        </w:tc>
      </w:tr>
      <w:tr w:rsidR="00FB21BB" w:rsidRPr="00FA1EA4" w14:paraId="49B013C5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3ED60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13/09/2025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65C4F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3</w:t>
            </w:r>
          </w:p>
        </w:tc>
      </w:tr>
      <w:tr w:rsidR="00FB21BB" w:rsidRPr="00FA1EA4" w14:paraId="58C6F293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35AF1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14/09/2025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47204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5</w:t>
            </w:r>
          </w:p>
        </w:tc>
      </w:tr>
      <w:tr w:rsidR="00FB21BB" w:rsidRPr="00FA1EA4" w14:paraId="3EDD1C16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4CA31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15/09/2025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D9D01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18</w:t>
            </w:r>
          </w:p>
        </w:tc>
      </w:tr>
      <w:tr w:rsidR="00FB21BB" w:rsidRPr="00FA1EA4" w14:paraId="04A9FCB8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B40F9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16/09/2025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86726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5</w:t>
            </w:r>
          </w:p>
        </w:tc>
      </w:tr>
      <w:tr w:rsidR="00FB21BB" w:rsidRPr="00FA1EA4" w14:paraId="4754553F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0BF24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17/09/2025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18692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22</w:t>
            </w:r>
          </w:p>
        </w:tc>
      </w:tr>
      <w:tr w:rsidR="00FB21BB" w:rsidRPr="00FA1EA4" w14:paraId="4A1BFADF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7334C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18/09/2025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7A32D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21</w:t>
            </w:r>
          </w:p>
        </w:tc>
      </w:tr>
      <w:tr w:rsidR="00FB21BB" w:rsidRPr="00FA1EA4" w14:paraId="667D4188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40ADD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19/09/2025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18F8F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16</w:t>
            </w:r>
          </w:p>
        </w:tc>
      </w:tr>
      <w:tr w:rsidR="00FB21BB" w:rsidRPr="00FA1EA4" w14:paraId="41DF63DF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7DD6A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20/09/2025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611A2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10</w:t>
            </w:r>
          </w:p>
        </w:tc>
      </w:tr>
      <w:tr w:rsidR="00FB21BB" w:rsidRPr="00FA1EA4" w14:paraId="395BC414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72AB1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21/09/2025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DA97B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5</w:t>
            </w:r>
          </w:p>
        </w:tc>
      </w:tr>
      <w:tr w:rsidR="00FB21BB" w:rsidRPr="00FA1EA4" w14:paraId="42B49C40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DF86D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22/09/2025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03A2D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3</w:t>
            </w:r>
          </w:p>
        </w:tc>
      </w:tr>
      <w:tr w:rsidR="00FB21BB" w:rsidRPr="00FA1EA4" w14:paraId="68C7C8D2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B1D2A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23/09/2025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AACE5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13</w:t>
            </w:r>
          </w:p>
        </w:tc>
      </w:tr>
      <w:tr w:rsidR="00FB21BB" w:rsidRPr="00FA1EA4" w14:paraId="379B0A34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01540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24/09/2025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C26D9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12</w:t>
            </w:r>
          </w:p>
        </w:tc>
      </w:tr>
      <w:tr w:rsidR="00FB21BB" w:rsidRPr="00FA1EA4" w14:paraId="1BBF5DB1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34FA5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25/09/2025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35638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16</w:t>
            </w:r>
          </w:p>
        </w:tc>
      </w:tr>
      <w:tr w:rsidR="00FB21BB" w:rsidRPr="00FA1EA4" w14:paraId="4A58DDFE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9FD62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26/09/2025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A6747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12</w:t>
            </w:r>
          </w:p>
        </w:tc>
      </w:tr>
      <w:tr w:rsidR="00FB21BB" w:rsidRPr="00FA1EA4" w14:paraId="40D9D9F9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932E3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27/09/2025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21198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</w:t>
            </w:r>
          </w:p>
        </w:tc>
      </w:tr>
      <w:tr w:rsidR="00FB21BB" w:rsidRPr="00FA1EA4" w14:paraId="5A2CCA22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BF290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28/09/2025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52E45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6</w:t>
            </w:r>
          </w:p>
        </w:tc>
      </w:tr>
      <w:tr w:rsidR="00FB21BB" w:rsidRPr="00FA1EA4" w14:paraId="0B69BE8E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3611F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29/09/2025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18721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0</w:t>
            </w:r>
          </w:p>
        </w:tc>
      </w:tr>
      <w:tr w:rsidR="00FB21BB" w:rsidRPr="00FA1EA4" w14:paraId="51AB887A" w14:textId="77777777" w:rsidTr="00FB21B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01597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30/09/2025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9310C" w14:textId="77777777" w:rsidR="00FB21BB" w:rsidRPr="00FB21BB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FB21BB">
              <w:rPr>
                <w:rFonts w:ascii="Poppins" w:hAnsi="Poppins" w:cs="Poppins"/>
                <w:color w:val="000000"/>
                <w:sz w:val="16"/>
                <w:szCs w:val="16"/>
              </w:rPr>
              <w:t>0</w:t>
            </w:r>
          </w:p>
        </w:tc>
      </w:tr>
      <w:tr w:rsidR="00FB21BB" w:rsidRPr="00FA1EA4" w14:paraId="60384D2E" w14:textId="77777777" w:rsidTr="00FB21BB">
        <w:trPr>
          <w:trHeight w:val="509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F1728"/>
            <w:vAlign w:val="center"/>
            <w:hideMark/>
          </w:tcPr>
          <w:p w14:paraId="3C9F9879" w14:textId="77777777" w:rsidR="00FB21BB" w:rsidRPr="00FA1EA4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</w:pPr>
            <w:r w:rsidRPr="00FA1EA4"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  <w:t>TOTAL AGOSTO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91FDD" w14:textId="77777777" w:rsidR="00FB21BB" w:rsidRPr="00FA1EA4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Poppins" w:eastAsia="Times New Roman" w:hAnsi="Poppins" w:cs="Poppins"/>
                <w:b/>
                <w:bCs/>
                <w:color w:val="000000"/>
                <w:sz w:val="16"/>
                <w:szCs w:val="16"/>
              </w:rPr>
              <w:t>412</w:t>
            </w:r>
          </w:p>
        </w:tc>
      </w:tr>
    </w:tbl>
    <w:p w14:paraId="6C91EE17" w14:textId="252FE438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6AE1EF44" w14:textId="279FDAB5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5A9E69F9" w14:textId="4F158CFB" w:rsidR="004B7B82" w:rsidRPr="004B7B82" w:rsidRDefault="004B7B82" w:rsidP="004B7B82">
      <w:pPr>
        <w:rPr>
          <w:rFonts w:ascii="Poppins" w:eastAsia="Poppins" w:hAnsi="Poppins" w:cs="Poppins"/>
          <w:bCs/>
          <w:color w:val="000000" w:themeColor="text1"/>
        </w:rPr>
      </w:pPr>
    </w:p>
    <w:sectPr w:rsidR="004B7B82" w:rsidRPr="004B7B82">
      <w:headerReference w:type="default" r:id="rId10"/>
      <w:pgSz w:w="12240" w:h="15840"/>
      <w:pgMar w:top="964" w:right="720" w:bottom="720" w:left="96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D3A43C" w14:textId="77777777" w:rsidR="006158C7" w:rsidRDefault="006158C7" w:rsidP="00FB21BB">
      <w:pPr>
        <w:spacing w:after="0" w:line="240" w:lineRule="auto"/>
      </w:pPr>
      <w:r>
        <w:separator/>
      </w:r>
    </w:p>
  </w:endnote>
  <w:endnote w:type="continuationSeparator" w:id="0">
    <w:p w14:paraId="313ECBEE" w14:textId="77777777" w:rsidR="006158C7" w:rsidRDefault="006158C7" w:rsidP="00FB2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341C9C" w14:textId="77777777" w:rsidR="006158C7" w:rsidRDefault="006158C7" w:rsidP="00FB21BB">
      <w:pPr>
        <w:spacing w:after="0" w:line="240" w:lineRule="auto"/>
      </w:pPr>
      <w:r>
        <w:separator/>
      </w:r>
    </w:p>
  </w:footnote>
  <w:footnote w:type="continuationSeparator" w:id="0">
    <w:p w14:paraId="0C48C8A7" w14:textId="77777777" w:rsidR="006158C7" w:rsidRDefault="006158C7" w:rsidP="00FB2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BCE5B" w14:textId="07BF1E61" w:rsidR="00FB21BB" w:rsidRDefault="00FB21B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FD27F5" wp14:editId="4054F465">
          <wp:simplePos x="0" y="0"/>
          <wp:positionH relativeFrom="margin">
            <wp:posOffset>-591820</wp:posOffset>
          </wp:positionH>
          <wp:positionV relativeFrom="paragraph">
            <wp:posOffset>-438785</wp:posOffset>
          </wp:positionV>
          <wp:extent cx="7772400" cy="10067452"/>
          <wp:effectExtent l="0" t="0" r="0" b="0"/>
          <wp:wrapNone/>
          <wp:docPr id="2734719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244496" name="Imagen 68024449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502E8"/>
    <w:multiLevelType w:val="multilevel"/>
    <w:tmpl w:val="6986D70E"/>
    <w:lvl w:ilvl="0">
      <w:start w:val="1"/>
      <w:numFmt w:val="bullet"/>
      <w:lvlText w:val="●"/>
      <w:lvlJc w:val="left"/>
      <w:pPr>
        <w:ind w:left="2484" w:hanging="360"/>
      </w:pPr>
      <w:rPr>
        <w:rFonts w:ascii="Noto Sans Symbols" w:eastAsia="Noto Sans Symbols" w:hAnsi="Noto Sans Symbols" w:cs="Noto Sans Symbols"/>
        <w:color w:val="871947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767BF8"/>
    <w:multiLevelType w:val="hybridMultilevel"/>
    <w:tmpl w:val="5F0E19CA"/>
    <w:lvl w:ilvl="0" w:tplc="A17CB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F1728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21539"/>
    <w:multiLevelType w:val="hybridMultilevel"/>
    <w:tmpl w:val="0D4C8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B6"/>
    <w:rsid w:val="0007504B"/>
    <w:rsid w:val="0014014C"/>
    <w:rsid w:val="00304A58"/>
    <w:rsid w:val="00450929"/>
    <w:rsid w:val="004721F6"/>
    <w:rsid w:val="004B7B82"/>
    <w:rsid w:val="004C440C"/>
    <w:rsid w:val="005D1D8E"/>
    <w:rsid w:val="006158C7"/>
    <w:rsid w:val="006462FA"/>
    <w:rsid w:val="00767E1F"/>
    <w:rsid w:val="0077363B"/>
    <w:rsid w:val="007F633A"/>
    <w:rsid w:val="00850F5B"/>
    <w:rsid w:val="0089706B"/>
    <w:rsid w:val="008C22B6"/>
    <w:rsid w:val="008D53E4"/>
    <w:rsid w:val="00AC5278"/>
    <w:rsid w:val="00B50471"/>
    <w:rsid w:val="00C2531C"/>
    <w:rsid w:val="00CD01C1"/>
    <w:rsid w:val="00F7368D"/>
    <w:rsid w:val="00FA1EA4"/>
    <w:rsid w:val="00FB21BB"/>
    <w:rsid w:val="00FC44C1"/>
    <w:rsid w:val="00FE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26F1F"/>
  <w15:docId w15:val="{0A1FEC10-E022-4465-9562-EA15F2346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rrafodelista">
    <w:name w:val="List Paragraph"/>
    <w:basedOn w:val="Normal"/>
    <w:uiPriority w:val="34"/>
    <w:qFormat/>
    <w:rsid w:val="005D1D8E"/>
    <w:pPr>
      <w:spacing w:after="0" w:line="240" w:lineRule="auto"/>
      <w:ind w:left="720"/>
      <w:contextualSpacing/>
    </w:pPr>
    <w:rPr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FA1E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1E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1E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1E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1EA4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FB2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21BB"/>
  </w:style>
  <w:style w:type="paragraph" w:styleId="Piedepgina">
    <w:name w:val="footer"/>
    <w:basedOn w:val="Normal"/>
    <w:link w:val="PiedepginaCar"/>
    <w:uiPriority w:val="99"/>
    <w:unhideWhenUsed/>
    <w:rsid w:val="00FB2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0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 dirty="0">
                <a:latin typeface="+mj-lt"/>
              </a:rPr>
              <a:t>SEMAFOROS SEPTIEMBRE</a:t>
            </a:r>
            <a:r>
              <a:rPr lang="en-US" sz="1800" b="1" baseline="0" dirty="0">
                <a:latin typeface="+mj-lt"/>
              </a:rPr>
              <a:t> </a:t>
            </a:r>
            <a:r>
              <a:rPr lang="en-US" sz="1800" b="1" dirty="0">
                <a:latin typeface="+mj-lt"/>
              </a:rPr>
              <a:t>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Columna1</c:v>
                </c:pt>
              </c:strCache>
            </c:strRef>
          </c:tx>
          <c:spPr>
            <a:ln w="28575" cap="rnd">
              <a:solidFill>
                <a:srgbClr val="4A53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4A5350"/>
              </a:solidFill>
              <a:ln w="9525">
                <a:solidFill>
                  <a:srgbClr val="4A5350"/>
                </a:solidFill>
              </a:ln>
              <a:effectLst/>
            </c:spPr>
          </c:marker>
          <c:cat>
            <c:numRef>
              <c:f>Hoja1!$A$2:$A$31</c:f>
              <c:numCache>
                <c:formatCode>m/d/yyyy</c:formatCode>
                <c:ptCount val="30"/>
                <c:pt idx="0">
                  <c:v>45901</c:v>
                </c:pt>
                <c:pt idx="1">
                  <c:v>45902</c:v>
                </c:pt>
                <c:pt idx="2">
                  <c:v>45903</c:v>
                </c:pt>
                <c:pt idx="3">
                  <c:v>45904</c:v>
                </c:pt>
                <c:pt idx="4">
                  <c:v>45905</c:v>
                </c:pt>
                <c:pt idx="5">
                  <c:v>45906</c:v>
                </c:pt>
                <c:pt idx="6">
                  <c:v>45907</c:v>
                </c:pt>
                <c:pt idx="7">
                  <c:v>45908</c:v>
                </c:pt>
                <c:pt idx="8">
                  <c:v>45909</c:v>
                </c:pt>
                <c:pt idx="9">
                  <c:v>45910</c:v>
                </c:pt>
                <c:pt idx="10">
                  <c:v>45911</c:v>
                </c:pt>
                <c:pt idx="11">
                  <c:v>45912</c:v>
                </c:pt>
                <c:pt idx="12">
                  <c:v>45913</c:v>
                </c:pt>
                <c:pt idx="13">
                  <c:v>45914</c:v>
                </c:pt>
                <c:pt idx="14">
                  <c:v>45915</c:v>
                </c:pt>
                <c:pt idx="15">
                  <c:v>45916</c:v>
                </c:pt>
                <c:pt idx="16">
                  <c:v>45917</c:v>
                </c:pt>
                <c:pt idx="17">
                  <c:v>45918</c:v>
                </c:pt>
                <c:pt idx="18">
                  <c:v>45919</c:v>
                </c:pt>
                <c:pt idx="19">
                  <c:v>45920</c:v>
                </c:pt>
                <c:pt idx="20">
                  <c:v>45921</c:v>
                </c:pt>
                <c:pt idx="21">
                  <c:v>45922</c:v>
                </c:pt>
                <c:pt idx="22">
                  <c:v>45923</c:v>
                </c:pt>
                <c:pt idx="23">
                  <c:v>45924</c:v>
                </c:pt>
                <c:pt idx="24">
                  <c:v>45925</c:v>
                </c:pt>
                <c:pt idx="25">
                  <c:v>45926</c:v>
                </c:pt>
                <c:pt idx="26">
                  <c:v>45927</c:v>
                </c:pt>
                <c:pt idx="27">
                  <c:v>45928</c:v>
                </c:pt>
                <c:pt idx="28">
                  <c:v>45929</c:v>
                </c:pt>
                <c:pt idx="29">
                  <c:v>45930</c:v>
                </c:pt>
              </c:numCache>
            </c:numRef>
          </c:cat>
          <c:val>
            <c:numRef>
              <c:f>Hoja1!$B$2:$B$31</c:f>
              <c:numCache>
                <c:formatCode>General</c:formatCode>
                <c:ptCount val="30"/>
                <c:pt idx="0">
                  <c:v>29</c:v>
                </c:pt>
                <c:pt idx="1">
                  <c:v>12</c:v>
                </c:pt>
                <c:pt idx="2">
                  <c:v>20</c:v>
                </c:pt>
                <c:pt idx="3">
                  <c:v>16</c:v>
                </c:pt>
                <c:pt idx="4">
                  <c:v>13</c:v>
                </c:pt>
                <c:pt idx="5">
                  <c:v>7</c:v>
                </c:pt>
                <c:pt idx="6">
                  <c:v>13</c:v>
                </c:pt>
                <c:pt idx="7">
                  <c:v>29</c:v>
                </c:pt>
                <c:pt idx="8">
                  <c:v>42</c:v>
                </c:pt>
                <c:pt idx="9">
                  <c:v>16</c:v>
                </c:pt>
                <c:pt idx="10">
                  <c:v>26</c:v>
                </c:pt>
                <c:pt idx="11">
                  <c:v>20</c:v>
                </c:pt>
                <c:pt idx="12">
                  <c:v>3</c:v>
                </c:pt>
                <c:pt idx="13">
                  <c:v>5</c:v>
                </c:pt>
                <c:pt idx="14">
                  <c:v>18</c:v>
                </c:pt>
                <c:pt idx="15">
                  <c:v>5</c:v>
                </c:pt>
                <c:pt idx="16">
                  <c:v>22</c:v>
                </c:pt>
                <c:pt idx="17">
                  <c:v>21</c:v>
                </c:pt>
                <c:pt idx="18">
                  <c:v>16</c:v>
                </c:pt>
                <c:pt idx="19">
                  <c:v>10</c:v>
                </c:pt>
                <c:pt idx="20">
                  <c:v>5</c:v>
                </c:pt>
                <c:pt idx="21">
                  <c:v>3</c:v>
                </c:pt>
                <c:pt idx="22">
                  <c:v>13</c:v>
                </c:pt>
                <c:pt idx="23">
                  <c:v>12</c:v>
                </c:pt>
                <c:pt idx="24">
                  <c:v>16</c:v>
                </c:pt>
                <c:pt idx="25">
                  <c:v>12</c:v>
                </c:pt>
                <c:pt idx="26">
                  <c:v>2</c:v>
                </c:pt>
                <c:pt idx="27">
                  <c:v>6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C14-4D10-8B17-800E18E01E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85066639"/>
        <c:axId val="2085066223"/>
      </c:lineChart>
      <c:dateAx>
        <c:axId val="2085066639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85066223"/>
        <c:crosses val="autoZero"/>
        <c:auto val="1"/>
        <c:lblOffset val="100"/>
        <c:baseTimeUnit val="days"/>
      </c:dateAx>
      <c:valAx>
        <c:axId val="20850662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850666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DC63B-86D1-484A-85B4-7F543FAD4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CANDIA</dc:creator>
  <cp:lastModifiedBy>Antony Aurelio Montiel Blancas</cp:lastModifiedBy>
  <cp:revision>2</cp:revision>
  <cp:lastPrinted>2025-07-10T18:19:00Z</cp:lastPrinted>
  <dcterms:created xsi:type="dcterms:W3CDTF">2025-10-03T20:57:00Z</dcterms:created>
  <dcterms:modified xsi:type="dcterms:W3CDTF">2025-10-03T20:57:00Z</dcterms:modified>
</cp:coreProperties>
</file>